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14BF" w14:textId="77777777" w:rsidR="00432713" w:rsidRDefault="00E76586" w:rsidP="004327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Paraprofessional </w:t>
      </w:r>
      <w:r w:rsidRPr="00D122D8">
        <w:rPr>
          <w:b/>
          <w:sz w:val="28"/>
          <w:szCs w:val="28"/>
        </w:rPr>
        <w:t>Time Form</w:t>
      </w:r>
      <w:r>
        <w:rPr>
          <w:b/>
          <w:sz w:val="28"/>
          <w:szCs w:val="28"/>
        </w:rPr>
        <w:t xml:space="preserve"> SY16-17</w:t>
      </w:r>
    </w:p>
    <w:p w14:paraId="79A9CAA2" w14:textId="77777777" w:rsidR="00432713" w:rsidRPr="00D122D8" w:rsidRDefault="00E76586" w:rsidP="00432713">
      <w:pPr>
        <w:rPr>
          <w:rFonts w:cstheme="minorHAnsi"/>
        </w:rPr>
      </w:pPr>
      <w:r w:rsidRPr="00C9469E">
        <w:rPr>
          <w:rFonts w:eastAsia="Times New Roman" w:cstheme="minorHAnsi"/>
          <w:w w:val="107"/>
        </w:rPr>
        <w:t xml:space="preserve">Meaningful </w:t>
      </w:r>
      <w:r>
        <w:rPr>
          <w:rFonts w:eastAsia="Times New Roman" w:cstheme="minorHAnsi"/>
          <w:w w:val="107"/>
        </w:rPr>
        <w:t>paraprofessional</w:t>
      </w:r>
      <w:r w:rsidRPr="00C9469E">
        <w:rPr>
          <w:rFonts w:eastAsia="Times New Roman" w:cstheme="minorHAnsi"/>
          <w:w w:val="107"/>
        </w:rPr>
        <w:t xml:space="preserve"> </w:t>
      </w:r>
      <w:r w:rsidRPr="00D122D8">
        <w:rPr>
          <w:rFonts w:eastAsia="Times New Roman" w:cstheme="minorHAnsi"/>
          <w:w w:val="107"/>
        </w:rPr>
        <w:t xml:space="preserve">time is critical </w:t>
      </w:r>
      <w:r>
        <w:rPr>
          <w:rFonts w:eastAsia="Times New Roman" w:cstheme="minorHAnsi"/>
          <w:w w:val="107"/>
        </w:rPr>
        <w:t>to</w:t>
      </w:r>
      <w:r w:rsidRPr="00D122D8">
        <w:rPr>
          <w:rFonts w:eastAsia="Times New Roman" w:cstheme="minorHAnsi"/>
          <w:w w:val="107"/>
        </w:rPr>
        <w:t xml:space="preserve"> student </w:t>
      </w:r>
      <w:r>
        <w:rPr>
          <w:rFonts w:eastAsia="Times New Roman" w:cstheme="minorHAnsi"/>
          <w:w w:val="107"/>
        </w:rPr>
        <w:t>success</w:t>
      </w:r>
      <w:r w:rsidRPr="00D122D8">
        <w:rPr>
          <w:rFonts w:eastAsia="Times New Roman" w:cstheme="minorHAnsi"/>
          <w:w w:val="107"/>
        </w:rPr>
        <w:t xml:space="preserve">, therefore </w:t>
      </w:r>
      <w:r>
        <w:rPr>
          <w:rFonts w:eastAsia="Times New Roman" w:cstheme="minorHAnsi"/>
          <w:w w:val="107"/>
        </w:rPr>
        <w:t>paraprofessionals</w:t>
      </w:r>
      <w:r w:rsidRPr="00C9469E">
        <w:rPr>
          <w:rFonts w:eastAsia="Times New Roman" w:cstheme="minorHAnsi"/>
          <w:w w:val="107"/>
        </w:rPr>
        <w:t xml:space="preserve"> </w:t>
      </w:r>
      <w:r w:rsidRPr="00D122D8">
        <w:rPr>
          <w:rFonts w:eastAsia="Times New Roman" w:cstheme="minorHAnsi"/>
          <w:w w:val="107"/>
        </w:rPr>
        <w:t xml:space="preserve">being present and on time will help maximize student </w:t>
      </w:r>
      <w:r>
        <w:rPr>
          <w:rFonts w:eastAsia="Times New Roman" w:cstheme="minorHAnsi"/>
          <w:w w:val="107"/>
        </w:rPr>
        <w:t>learning</w:t>
      </w:r>
      <w:r w:rsidRPr="00D122D8">
        <w:rPr>
          <w:rFonts w:eastAsia="Times New Roman" w:cstheme="minorHAnsi"/>
          <w:w w:val="107"/>
        </w:rPr>
        <w:t>.</w:t>
      </w:r>
      <w:r>
        <w:rPr>
          <w:rFonts w:eastAsia="Times New Roman" w:cstheme="minorHAnsi"/>
          <w:w w:val="107"/>
        </w:rPr>
        <w:t xml:space="preserve"> The Virgin Islands Departmen</w:t>
      </w:r>
      <w:r>
        <w:rPr>
          <w:rFonts w:eastAsia="Times New Roman" w:cstheme="minorHAnsi"/>
          <w:w w:val="107"/>
        </w:rPr>
        <w:t>t of Education (VIDE) includes P</w:t>
      </w:r>
      <w:r>
        <w:rPr>
          <w:rFonts w:eastAsia="Times New Roman" w:cstheme="minorHAnsi"/>
          <w:w w:val="107"/>
        </w:rPr>
        <w:t>araprofessional</w:t>
      </w:r>
      <w:r w:rsidRPr="00C9469E">
        <w:rPr>
          <w:rFonts w:eastAsia="Times New Roman" w:cstheme="minorHAnsi"/>
          <w:w w:val="107"/>
        </w:rPr>
        <w:t xml:space="preserve"> </w:t>
      </w:r>
      <w:r>
        <w:rPr>
          <w:rFonts w:eastAsia="Times New Roman" w:cstheme="minorHAnsi"/>
          <w:w w:val="107"/>
        </w:rPr>
        <w:t>T</w:t>
      </w:r>
      <w:r>
        <w:rPr>
          <w:rFonts w:eastAsia="Times New Roman" w:cstheme="minorHAnsi"/>
          <w:w w:val="107"/>
        </w:rPr>
        <w:t>ime as one of the measures within paraprofessional</w:t>
      </w:r>
      <w:r w:rsidRPr="00C9469E">
        <w:rPr>
          <w:rFonts w:eastAsia="Times New Roman" w:cstheme="minorHAnsi"/>
          <w:w w:val="107"/>
        </w:rPr>
        <w:t xml:space="preserve"> </w:t>
      </w:r>
      <w:r>
        <w:rPr>
          <w:rFonts w:eastAsia="Times New Roman" w:cstheme="minorHAnsi"/>
          <w:w w:val="107"/>
        </w:rPr>
        <w:t>evaluation. Paraprofessional</w:t>
      </w:r>
      <w:r w:rsidRPr="00C9469E">
        <w:rPr>
          <w:rFonts w:eastAsia="Times New Roman" w:cstheme="minorHAnsi"/>
          <w:w w:val="107"/>
        </w:rPr>
        <w:t xml:space="preserve"> </w:t>
      </w:r>
      <w:r>
        <w:rPr>
          <w:rFonts w:eastAsia="Times New Roman" w:cstheme="minorHAnsi"/>
          <w:w w:val="107"/>
        </w:rPr>
        <w:t>T</w:t>
      </w:r>
      <w:r>
        <w:rPr>
          <w:rFonts w:eastAsia="Times New Roman" w:cstheme="minorHAnsi"/>
          <w:w w:val="107"/>
        </w:rPr>
        <w:t xml:space="preserve">ime is indicated by a paraprofessional’s attendance and punctuality and follows the </w:t>
      </w:r>
      <w:r>
        <w:t>U.S. Virgin Islands Department of Education Personnel Attendance Policy.</w:t>
      </w:r>
    </w:p>
    <w:p w14:paraId="01CFB4BF" w14:textId="77777777" w:rsidR="00432713" w:rsidRDefault="00E76586" w:rsidP="00432713">
      <w:r>
        <w:t>T</w:t>
      </w:r>
      <w:r>
        <w:t>he Policy designates four categories for employee attendance: Outstanding, Exceeds Standards, Satisfactory, and Unsatisfactory. For the purposes of evaluation, the following rating scale is applied:</w:t>
      </w:r>
    </w:p>
    <w:p w14:paraId="1855BBA9" w14:textId="77777777" w:rsidR="00432713" w:rsidRDefault="00E76586" w:rsidP="00432713">
      <w:pPr>
        <w:jc w:val="center"/>
      </w:pPr>
      <w:r>
        <w:t>4=Outstanding/ 3=Exceeds Standards/ 2=Satisfactory/ 1= Un</w:t>
      </w:r>
      <w:r>
        <w:t>satisfactory</w:t>
      </w:r>
    </w:p>
    <w:p w14:paraId="2C0D05AF" w14:textId="44D14BEC" w:rsidR="00432713" w:rsidRPr="00DD2408" w:rsidRDefault="00E76586" w:rsidP="00432713">
      <w:r>
        <w:t xml:space="preserve">The </w:t>
      </w:r>
      <w:r>
        <w:rPr>
          <w:b/>
        </w:rPr>
        <w:t xml:space="preserve">principal completes the </w:t>
      </w:r>
      <w:r>
        <w:rPr>
          <w:rFonts w:eastAsia="Times New Roman" w:cstheme="minorHAnsi"/>
          <w:b/>
          <w:w w:val="107"/>
        </w:rPr>
        <w:t>Paraprofessional</w:t>
      </w:r>
      <w:r w:rsidRPr="00C9469E">
        <w:rPr>
          <w:rFonts w:eastAsia="Times New Roman" w:cstheme="minorHAnsi"/>
          <w:w w:val="107"/>
        </w:rPr>
        <w:t xml:space="preserve"> </w:t>
      </w:r>
      <w:r>
        <w:rPr>
          <w:b/>
        </w:rPr>
        <w:t xml:space="preserve">Time Form </w:t>
      </w:r>
      <w:r>
        <w:t xml:space="preserve">based on the </w:t>
      </w:r>
      <w:r>
        <w:rPr>
          <w:rFonts w:eastAsia="Times New Roman" w:cstheme="minorHAnsi"/>
          <w:w w:val="107"/>
        </w:rPr>
        <w:t>paraprofessional</w:t>
      </w:r>
      <w:r>
        <w:t xml:space="preserve">’s record of attendance and punctuality in </w:t>
      </w:r>
      <w:proofErr w:type="spellStart"/>
      <w:r>
        <w:t>TimeForce</w:t>
      </w:r>
      <w:proofErr w:type="spellEnd"/>
      <w:r>
        <w:t xml:space="preserve"> and submits it </w:t>
      </w:r>
      <w:r>
        <w:rPr>
          <w:b/>
        </w:rPr>
        <w:t xml:space="preserve">BEFORE </w:t>
      </w:r>
      <w:r>
        <w:t xml:space="preserve">the </w:t>
      </w:r>
      <w:r>
        <w:rPr>
          <w:rFonts w:eastAsia="Times New Roman" w:cstheme="minorHAnsi"/>
          <w:b/>
          <w:w w:val="107"/>
        </w:rPr>
        <w:t>P</w:t>
      </w:r>
      <w:r w:rsidRPr="00737AAE">
        <w:rPr>
          <w:rFonts w:eastAsia="Times New Roman" w:cstheme="minorHAnsi"/>
          <w:b/>
          <w:w w:val="107"/>
        </w:rPr>
        <w:t>araprofessional</w:t>
      </w:r>
      <w:r w:rsidRPr="00DD2408">
        <w:rPr>
          <w:b/>
        </w:rPr>
        <w:t xml:space="preserve"> Summative Evaluation </w:t>
      </w:r>
      <w:r w:rsidRPr="00DD2408">
        <w:t>meeting</w:t>
      </w:r>
      <w:r>
        <w:t>. A copy of the U.S. Virgin Islands</w:t>
      </w:r>
      <w:r>
        <w:t xml:space="preserve"> Department of Education Personnel Attendance Policy can be accessed on the VIDE </w:t>
      </w:r>
      <w:hyperlink r:id="rId6" w:history="1">
        <w:r w:rsidRPr="0029435A">
          <w:t>EES web portal.</w:t>
        </w:r>
      </w:hyperlink>
      <w:r>
        <w:t xml:space="preserve"> </w:t>
      </w:r>
    </w:p>
    <w:p w14:paraId="0A9FD967" w14:textId="77777777" w:rsidR="00432713" w:rsidRPr="00DD2408" w:rsidRDefault="00E76586" w:rsidP="00432713">
      <w:pPr>
        <w:rPr>
          <w:b/>
        </w:rPr>
      </w:pPr>
      <w:r w:rsidRPr="00DD2408">
        <w:rPr>
          <w:b/>
        </w:rPr>
        <w:t xml:space="preserve"> Attendance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2302"/>
        <w:gridCol w:w="2330"/>
        <w:gridCol w:w="2353"/>
      </w:tblGrid>
      <w:tr w:rsidR="00432713" w:rsidRPr="00D3315C" w14:paraId="70A7628C" w14:textId="77777777" w:rsidTr="00581C1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365" w:type="dxa"/>
            <w:shd w:val="clear" w:color="auto" w:fill="000000" w:themeFill="text1"/>
          </w:tcPr>
          <w:p w14:paraId="3163FB31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</w:t>
            </w:r>
          </w:p>
          <w:p w14:paraId="63A8582C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Unsatisfactory</w:t>
            </w:r>
          </w:p>
        </w:tc>
        <w:tc>
          <w:tcPr>
            <w:tcW w:w="2302" w:type="dxa"/>
            <w:shd w:val="clear" w:color="auto" w:fill="000000" w:themeFill="text1"/>
          </w:tcPr>
          <w:p w14:paraId="4C4B73DD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2</w:t>
            </w:r>
          </w:p>
          <w:p w14:paraId="05A8C400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Satisfactory</w:t>
            </w:r>
          </w:p>
        </w:tc>
        <w:tc>
          <w:tcPr>
            <w:tcW w:w="2330" w:type="dxa"/>
            <w:shd w:val="clear" w:color="auto" w:fill="000000" w:themeFill="text1"/>
          </w:tcPr>
          <w:p w14:paraId="3673D7E4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3</w:t>
            </w:r>
          </w:p>
          <w:p w14:paraId="152E1FE5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Exceeds Standards</w:t>
            </w:r>
          </w:p>
        </w:tc>
        <w:tc>
          <w:tcPr>
            <w:tcW w:w="2353" w:type="dxa"/>
            <w:shd w:val="clear" w:color="auto" w:fill="000000" w:themeFill="text1"/>
          </w:tcPr>
          <w:p w14:paraId="258A5468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</w:t>
            </w:r>
          </w:p>
          <w:p w14:paraId="46D4E6CF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Outstanding</w:t>
            </w:r>
          </w:p>
        </w:tc>
      </w:tr>
      <w:tr w:rsidR="00432713" w:rsidRPr="00D3315C" w14:paraId="31E748C4" w14:textId="77777777" w:rsidTr="00581C1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65" w:type="dxa"/>
          </w:tcPr>
          <w:p w14:paraId="607C7C69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3B44A218" wp14:editId="530B503A">
                  <wp:extent cx="250190" cy="2254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14:paraId="22BDA32F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7411B548" wp14:editId="666480CB">
                  <wp:extent cx="250190" cy="225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14:paraId="602A1026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38ADCC7B" wp14:editId="7E8A5143">
                  <wp:extent cx="250190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14:paraId="48BA65FC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1B5C7B97" wp14:editId="45FE1A42">
                  <wp:extent cx="250190" cy="2254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13" w:rsidRPr="00D3315C" w14:paraId="0974D455" w14:textId="77777777" w:rsidTr="00581C14">
        <w:tblPrEx>
          <w:tblCellMar>
            <w:top w:w="0" w:type="dxa"/>
            <w:bottom w:w="0" w:type="dxa"/>
          </w:tblCellMar>
        </w:tblPrEx>
        <w:tc>
          <w:tcPr>
            <w:tcW w:w="2365" w:type="dxa"/>
          </w:tcPr>
          <w:p w14:paraId="10DF6757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or more absences</w:t>
            </w:r>
          </w:p>
        </w:tc>
        <w:tc>
          <w:tcPr>
            <w:tcW w:w="2302" w:type="dxa"/>
          </w:tcPr>
          <w:p w14:paraId="658C29CD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9-12 absences</w:t>
            </w:r>
          </w:p>
        </w:tc>
        <w:tc>
          <w:tcPr>
            <w:tcW w:w="2330" w:type="dxa"/>
          </w:tcPr>
          <w:p w14:paraId="4D2C9C53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5-8 absences</w:t>
            </w:r>
          </w:p>
        </w:tc>
        <w:tc>
          <w:tcPr>
            <w:tcW w:w="2353" w:type="dxa"/>
          </w:tcPr>
          <w:p w14:paraId="437609D9" w14:textId="77777777" w:rsidR="00432713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0-4 absences</w:t>
            </w:r>
          </w:p>
          <w:p w14:paraId="2264A0AD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62027F4B" w14:textId="77777777" w:rsidR="00432713" w:rsidRDefault="00E76586" w:rsidP="00432713">
      <w:pPr>
        <w:spacing w:after="0" w:line="240" w:lineRule="auto"/>
      </w:pPr>
    </w:p>
    <w:p w14:paraId="14DA45DA" w14:textId="77777777" w:rsidR="00432713" w:rsidRPr="00DD2408" w:rsidRDefault="00E76586" w:rsidP="00432713">
      <w:pPr>
        <w:rPr>
          <w:b/>
        </w:rPr>
      </w:pPr>
      <w:r>
        <w:rPr>
          <w:b/>
        </w:rPr>
        <w:t>Punctuality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2302"/>
        <w:gridCol w:w="2330"/>
        <w:gridCol w:w="2353"/>
      </w:tblGrid>
      <w:tr w:rsidR="00432713" w:rsidRPr="00D3315C" w14:paraId="6268280F" w14:textId="77777777" w:rsidTr="00581C1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365" w:type="dxa"/>
            <w:shd w:val="clear" w:color="auto" w:fill="000000" w:themeFill="text1"/>
          </w:tcPr>
          <w:p w14:paraId="14B67B5D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</w:t>
            </w:r>
          </w:p>
          <w:p w14:paraId="37A756FB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Unsatisfactory</w:t>
            </w:r>
          </w:p>
        </w:tc>
        <w:tc>
          <w:tcPr>
            <w:tcW w:w="2302" w:type="dxa"/>
            <w:shd w:val="clear" w:color="auto" w:fill="000000" w:themeFill="text1"/>
          </w:tcPr>
          <w:p w14:paraId="29C0BDDE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2</w:t>
            </w:r>
          </w:p>
          <w:p w14:paraId="6240A997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Satisfactory</w:t>
            </w:r>
          </w:p>
        </w:tc>
        <w:tc>
          <w:tcPr>
            <w:tcW w:w="2330" w:type="dxa"/>
            <w:shd w:val="clear" w:color="auto" w:fill="000000" w:themeFill="text1"/>
          </w:tcPr>
          <w:p w14:paraId="65B6EBAE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3</w:t>
            </w:r>
          </w:p>
          <w:p w14:paraId="357C6CA5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Exceeds Standards</w:t>
            </w:r>
          </w:p>
        </w:tc>
        <w:tc>
          <w:tcPr>
            <w:tcW w:w="2353" w:type="dxa"/>
            <w:shd w:val="clear" w:color="auto" w:fill="000000" w:themeFill="text1"/>
          </w:tcPr>
          <w:p w14:paraId="0160C824" w14:textId="77777777" w:rsidR="00432713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</w:t>
            </w:r>
          </w:p>
          <w:p w14:paraId="78EACA84" w14:textId="77777777" w:rsidR="00432713" w:rsidRPr="00D3315C" w:rsidRDefault="00E76586" w:rsidP="00581C1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Outstanding</w:t>
            </w:r>
          </w:p>
        </w:tc>
      </w:tr>
      <w:tr w:rsidR="00432713" w:rsidRPr="00D3315C" w14:paraId="5E2370D9" w14:textId="77777777" w:rsidTr="00581C1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65" w:type="dxa"/>
          </w:tcPr>
          <w:p w14:paraId="50D5A170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40423DFA" wp14:editId="48507E28">
                  <wp:extent cx="250190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14:paraId="2E9F254C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5304924E" wp14:editId="716DA901">
                  <wp:extent cx="250190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14:paraId="2A66A5C2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16F97012" wp14:editId="7A4D1ACF">
                  <wp:extent cx="250190" cy="2254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14:paraId="3EF1D274" w14:textId="77777777" w:rsidR="00432713" w:rsidRPr="00D3315C" w:rsidRDefault="00E76586" w:rsidP="00581C1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7B0A60D8" wp14:editId="5832432A">
                  <wp:extent cx="250190" cy="2254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13" w:rsidRPr="00D3315C" w14:paraId="25979ED6" w14:textId="77777777" w:rsidTr="00581C14">
        <w:tblPrEx>
          <w:tblCellMar>
            <w:top w:w="0" w:type="dxa"/>
            <w:bottom w:w="0" w:type="dxa"/>
          </w:tblCellMar>
        </w:tblPrEx>
        <w:tc>
          <w:tcPr>
            <w:tcW w:w="2365" w:type="dxa"/>
          </w:tcPr>
          <w:p w14:paraId="10AD2454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or more occasions of tardiness</w:t>
            </w:r>
          </w:p>
        </w:tc>
        <w:tc>
          <w:tcPr>
            <w:tcW w:w="2302" w:type="dxa"/>
          </w:tcPr>
          <w:p w14:paraId="5D5768C8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9-12 occasions</w:t>
            </w:r>
            <w:r>
              <w:rPr>
                <w:rFonts w:eastAsia="Times New Roman" w:cstheme="minorHAnsi"/>
                <w:color w:val="000000"/>
              </w:rPr>
              <w:t xml:space="preserve"> of tardiness</w:t>
            </w:r>
          </w:p>
        </w:tc>
        <w:tc>
          <w:tcPr>
            <w:tcW w:w="2330" w:type="dxa"/>
          </w:tcPr>
          <w:p w14:paraId="7D5B9852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5-8 occasions of tardiness</w:t>
            </w:r>
          </w:p>
        </w:tc>
        <w:tc>
          <w:tcPr>
            <w:tcW w:w="2353" w:type="dxa"/>
          </w:tcPr>
          <w:p w14:paraId="3DEF6F8F" w14:textId="77777777" w:rsidR="00432713" w:rsidRPr="00D56A6C" w:rsidRDefault="00E76586" w:rsidP="00581C14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0-4 occasions of tardiness</w:t>
            </w:r>
          </w:p>
        </w:tc>
      </w:tr>
    </w:tbl>
    <w:p w14:paraId="44B54212" w14:textId="77777777" w:rsidR="00432713" w:rsidRDefault="00E76586" w:rsidP="00432713">
      <w:pPr>
        <w:spacing w:after="0" w:line="240" w:lineRule="auto"/>
      </w:pPr>
    </w:p>
    <w:p w14:paraId="78B48D91" w14:textId="77777777" w:rsidR="00432713" w:rsidRPr="00C9469E" w:rsidRDefault="00E76586" w:rsidP="00432713">
      <w:pPr>
        <w:rPr>
          <w:b/>
        </w:rPr>
      </w:pPr>
      <w:r>
        <w:rPr>
          <w:b/>
        </w:rPr>
        <w:t xml:space="preserve">Total </w:t>
      </w:r>
      <w:r>
        <w:rPr>
          <w:rFonts w:eastAsia="Times New Roman" w:cstheme="minorHAnsi"/>
          <w:b/>
          <w:w w:val="107"/>
        </w:rPr>
        <w:t>Paraprofessional</w:t>
      </w:r>
      <w:r w:rsidRPr="00C9469E">
        <w:rPr>
          <w:rFonts w:eastAsia="Times New Roman" w:cstheme="minorHAnsi"/>
          <w:w w:val="107"/>
        </w:rPr>
        <w:t xml:space="preserve"> </w:t>
      </w:r>
      <w:r>
        <w:rPr>
          <w:b/>
        </w:rPr>
        <w:t xml:space="preserve">Time score </w:t>
      </w:r>
      <w:r>
        <w:t xml:space="preserve">is calculated by averaging the attendance and punctuality scores. </w:t>
      </w:r>
      <w:proofErr w:type="spellStart"/>
      <w:r>
        <w:t>TalentEd</w:t>
      </w:r>
      <w:proofErr w:type="spellEnd"/>
      <w:r>
        <w:t xml:space="preserve"> automatically calculates the </w:t>
      </w:r>
      <w:r>
        <w:rPr>
          <w:b/>
        </w:rPr>
        <w:t xml:space="preserve">Total </w:t>
      </w:r>
      <w:r>
        <w:rPr>
          <w:rFonts w:eastAsia="Times New Roman" w:cstheme="minorHAnsi"/>
          <w:b/>
          <w:w w:val="107"/>
        </w:rPr>
        <w:t>Paraprofessional</w:t>
      </w:r>
      <w:r w:rsidRPr="00C9469E">
        <w:rPr>
          <w:rFonts w:eastAsia="Times New Roman" w:cstheme="minorHAnsi"/>
          <w:w w:val="107"/>
        </w:rPr>
        <w:t xml:space="preserve"> </w:t>
      </w:r>
      <w:r>
        <w:rPr>
          <w:b/>
        </w:rPr>
        <w:t xml:space="preserve">Time score </w:t>
      </w:r>
      <w:r w:rsidRPr="00DD2408">
        <w:t xml:space="preserve">when the form </w:t>
      </w:r>
      <w:r w:rsidRPr="00DD2408">
        <w:t>is submitted.</w:t>
      </w:r>
      <w:r>
        <w:rPr>
          <w:b/>
        </w:rPr>
        <w:t xml:space="preserve"> </w:t>
      </w:r>
    </w:p>
    <w:p w14:paraId="41A7FC7F" w14:textId="77777777" w:rsidR="00432713" w:rsidRDefault="00E76586" w:rsidP="00432713">
      <w:pPr>
        <w:rPr>
          <w:b/>
        </w:rPr>
      </w:pPr>
      <w:r w:rsidRPr="00DD24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79679" wp14:editId="24646F3C">
                <wp:simplePos x="0" y="0"/>
                <wp:positionH relativeFrom="column">
                  <wp:posOffset>2718435</wp:posOffset>
                </wp:positionH>
                <wp:positionV relativeFrom="paragraph">
                  <wp:posOffset>46355</wp:posOffset>
                </wp:positionV>
                <wp:extent cx="2360930" cy="257175"/>
                <wp:effectExtent l="0" t="0" r="355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180F" w14:textId="77777777" w:rsidR="00432713" w:rsidRDefault="00E76586" w:rsidP="00432713">
                            <w:r>
                              <w:t>AVE (Q1, Q2)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9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05pt;margin-top:3.65pt;width:185.9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wHJAIAAEY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">
                <v:textbox>
                  <w:txbxContent>
                    <w:p w14:paraId="3E87180F" w14:textId="77777777" w:rsidR="00432713" w:rsidRDefault="00E76586" w:rsidP="00432713">
                      <w:r>
                        <w:t>AVE (Q1, Q2)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TOTAL </w:t>
      </w:r>
      <w:r>
        <w:rPr>
          <w:rFonts w:eastAsia="Times New Roman" w:cstheme="minorHAnsi"/>
          <w:b/>
          <w:bCs/>
          <w:caps/>
          <w:w w:val="107"/>
        </w:rPr>
        <w:t>ParaPROFESSIONAL</w:t>
      </w:r>
      <w:r w:rsidRPr="00C9469E">
        <w:rPr>
          <w:rFonts w:eastAsia="Times New Roman" w:cstheme="minorHAnsi"/>
          <w:w w:val="107"/>
        </w:rPr>
        <w:t xml:space="preserve"> </w:t>
      </w:r>
      <w:r>
        <w:rPr>
          <w:b/>
        </w:rPr>
        <w:t xml:space="preserve">TIME SCORE: </w:t>
      </w:r>
    </w:p>
    <w:p w14:paraId="648E61B0" w14:textId="77777777" w:rsidR="00DB08A2" w:rsidRDefault="00E76586"/>
    <w:p w14:paraId="454676B4" w14:textId="77777777" w:rsidR="00432713" w:rsidRPr="00432713" w:rsidRDefault="00E76586">
      <w:pPr>
        <w:rPr>
          <w:b/>
        </w:rPr>
      </w:pPr>
      <w:r w:rsidRPr="0043271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C0B04" wp14:editId="350F7777">
                <wp:simplePos x="0" y="0"/>
                <wp:positionH relativeFrom="column">
                  <wp:posOffset>797296</wp:posOffset>
                </wp:positionH>
                <wp:positionV relativeFrom="paragraph">
                  <wp:posOffset>0</wp:posOffset>
                </wp:positionV>
                <wp:extent cx="4994275" cy="386080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DCCB" w14:textId="77777777" w:rsidR="00432713" w:rsidRDefault="00E765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C0B04" id="_x0000_s1027" type="#_x0000_t202" style="position:absolute;margin-left:62.8pt;margin-top:0;width:393.25pt;height:3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">
                <v:textbox style="mso-fit-shape-to-text:t">
                  <w:txbxContent>
                    <w:p w14:paraId="6972DCCB" w14:textId="77777777" w:rsidR="00432713" w:rsidRDefault="00E76586"/>
                  </w:txbxContent>
                </v:textbox>
              </v:shape>
            </w:pict>
          </mc:Fallback>
        </mc:AlternateContent>
      </w:r>
      <w:r w:rsidRPr="00432713">
        <w:rPr>
          <w:b/>
        </w:rPr>
        <w:t>Comments:</w:t>
      </w:r>
      <w:r>
        <w:rPr>
          <w:b/>
        </w:rPr>
        <w:t xml:space="preserve"> </w:t>
      </w:r>
    </w:p>
    <w:sectPr w:rsidR="00432713" w:rsidRPr="004327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3873" w14:textId="77777777" w:rsidR="00E76586" w:rsidRDefault="00E76586">
      <w:pPr>
        <w:spacing w:after="0" w:line="240" w:lineRule="auto"/>
      </w:pPr>
      <w:r>
        <w:separator/>
      </w:r>
    </w:p>
  </w:endnote>
  <w:endnote w:type="continuationSeparator" w:id="0">
    <w:p w14:paraId="167511DE" w14:textId="77777777" w:rsidR="00E76586" w:rsidRDefault="00E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FE8B" w14:textId="77777777" w:rsidR="00E76586" w:rsidRDefault="00E76586">
      <w:pPr>
        <w:spacing w:after="0" w:line="240" w:lineRule="auto"/>
      </w:pPr>
      <w:r>
        <w:separator/>
      </w:r>
    </w:p>
  </w:footnote>
  <w:footnote w:type="continuationSeparator" w:id="0">
    <w:p w14:paraId="4AD23BC6" w14:textId="77777777" w:rsidR="00E76586" w:rsidRDefault="00E7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C81A" w14:textId="77777777" w:rsidR="00432713" w:rsidRDefault="00E76586" w:rsidP="00432713">
    <w:pPr>
      <w:spacing w:after="120"/>
    </w:pPr>
    <w:r>
      <w:rPr>
        <w:noProof/>
      </w:rPr>
      <w:drawing>
        <wp:inline distT="0" distB="0" distL="0" distR="0" wp14:anchorId="736B538A" wp14:editId="7770D422">
          <wp:extent cx="2095500" cy="4412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ELogoColor(Hor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14" cy="442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83"/>
    <w:rsid w:val="00E33483"/>
    <w:rsid w:val="00E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ACB8A-3D78-4A79-8C78-B720B86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e.vi/for-employees/educators-portal/vide-es/298-paraprofessional-evaluation-proce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McMahon-Arnold, Yvette</dc:creator>
  <cp:lastModifiedBy>McMahon - Arnold, Yvette</cp:lastModifiedBy>
  <cp:revision>1</cp:revision>
  <dcterms:created xsi:type="dcterms:W3CDTF">2016-10-12T16:23:00Z</dcterms:created>
  <dcterms:modified xsi:type="dcterms:W3CDTF">2016-10-12T16:23:00Z</dcterms:modified>
</cp:coreProperties>
</file>